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50085AED-3AFC-4F61-81F5-92C1204F9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